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  <w:t>西藏自治区药品监督管理局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/>
        </w:rPr>
        <w:t>公务车辆维修服务项目入选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zh-CN"/>
        </w:rPr>
      </w:pPr>
    </w:p>
    <w:tbl>
      <w:tblPr>
        <w:tblStyle w:val="4"/>
        <w:tblW w:w="9360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85"/>
        <w:gridCol w:w="3150"/>
        <w:gridCol w:w="145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中标单位名称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  <w:t>服务范围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  <w:t>服务时限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西藏新全通汽车技术服务有限公司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/>
              </w:rPr>
              <w:t>丰田越野、陆地巡洋舰、别克君威、柯斯达大巴及依维柯等维修服务。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/>
              </w:rPr>
              <w:t>自签订服务协议起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zh-CN"/>
              </w:rPr>
              <w:t>符合招标单位要求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C1A26"/>
    <w:rsid w:val="345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2024-12-20T04:41:00Z</dcterms:created>
  <dc:creator>Administrator</dc:creator>
  <cp:lastModifiedBy>Administrator</cp:lastModifiedBy>
  <dcterms:modified xsi:type="dcterms:W3CDTF">2024-12-20T04:42:41Z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