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kern w:val="2"/>
          <w:sz w:val="32"/>
          <w:szCs w:val="32"/>
          <w:lang w:val="en" w:eastAsia="zh-CN" w:bidi="ar-SA"/>
        </w:rPr>
        <w:t>附件：</w:t>
      </w:r>
      <w:r>
        <w:rPr>
          <w:rFonts w:hint="eastAsia" w:ascii="仿宋_GB2312" w:hAnsi="仿宋_GB2312" w:eastAsia="仿宋_GB2312" w:cs="仿宋_GB2312"/>
          <w:sz w:val="32"/>
          <w:szCs w:val="32"/>
          <w:lang w:val="en" w:eastAsia="zh-CN"/>
        </w:rPr>
        <w:t>药品数智监管平台商用密码应用安全测评项目评分要求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default" w:ascii="仿宋_GB2312" w:hAnsi="仿宋_GB2312" w:eastAsia="仿宋_GB2312" w:cs="仿宋_GB2312"/>
          <w:kern w:val="2"/>
          <w:sz w:val="32"/>
          <w:szCs w:val="32"/>
          <w:lang w:val="en" w:eastAsia="zh-CN" w:bidi="ar-SA"/>
        </w:rPr>
      </w:pPr>
      <w:r>
        <w:rPr>
          <w:rFonts w:hint="default" w:ascii="仿宋_GB2312" w:hAnsi="仿宋_GB2312" w:eastAsia="仿宋_GB2312" w:cs="仿宋_GB2312"/>
          <w:kern w:val="2"/>
          <w:sz w:val="32"/>
          <w:szCs w:val="32"/>
          <w:lang w:val="en" w:eastAsia="zh-CN" w:bidi="ar-SA"/>
        </w:rPr>
        <w:t>1、系统安全性评估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default" w:ascii="仿宋_GB2312" w:hAnsi="仿宋_GB2312" w:eastAsia="仿宋_GB2312" w:cs="仿宋_GB2312"/>
          <w:kern w:val="2"/>
          <w:sz w:val="32"/>
          <w:szCs w:val="32"/>
          <w:lang w:val="en" w:eastAsia="zh-CN" w:bidi="ar-SA"/>
        </w:rPr>
      </w:pPr>
      <w:r>
        <w:rPr>
          <w:rFonts w:hint="default" w:ascii="仿宋_GB2312" w:hAnsi="仿宋_GB2312" w:eastAsia="仿宋_GB2312" w:cs="仿宋_GB2312"/>
          <w:kern w:val="2"/>
          <w:sz w:val="32"/>
          <w:szCs w:val="32"/>
          <w:lang w:val="en" w:eastAsia="zh-CN" w:bidi="ar-SA"/>
        </w:rPr>
        <w:t>从物理和环境安全、网络和通信安全、设备和计算安全、应用和数据安全4个层面对信息系统中商用密码应用的合规性，正确性，有效性进行安全性评估。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default" w:ascii="仿宋_GB2312" w:hAnsi="仿宋_GB2312" w:eastAsia="仿宋_GB2312" w:cs="仿宋_GB2312"/>
          <w:kern w:val="2"/>
          <w:sz w:val="32"/>
          <w:szCs w:val="32"/>
          <w:lang w:val="en" w:eastAsia="zh-CN" w:bidi="ar-SA"/>
        </w:rPr>
      </w:pPr>
      <w:r>
        <w:rPr>
          <w:rFonts w:hint="default" w:ascii="仿宋_GB2312" w:hAnsi="仿宋_GB2312" w:eastAsia="仿宋_GB2312" w:cs="仿宋_GB2312"/>
          <w:kern w:val="2"/>
          <w:sz w:val="32"/>
          <w:szCs w:val="32"/>
          <w:lang w:val="en" w:eastAsia="zh-CN" w:bidi="ar-SA"/>
        </w:rPr>
        <w:t>2、安全管理测评要求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default" w:ascii="仿宋_GB2312" w:hAnsi="仿宋_GB2312" w:eastAsia="仿宋_GB2312" w:cs="仿宋_GB2312"/>
          <w:kern w:val="2"/>
          <w:sz w:val="32"/>
          <w:szCs w:val="32"/>
          <w:lang w:val="en" w:eastAsia="zh-CN" w:bidi="ar-SA"/>
        </w:rPr>
      </w:pPr>
      <w:r>
        <w:rPr>
          <w:rFonts w:hint="default" w:ascii="仿宋_GB2312" w:hAnsi="仿宋_GB2312" w:eastAsia="仿宋_GB2312" w:cs="仿宋_GB2312"/>
          <w:kern w:val="2"/>
          <w:sz w:val="32"/>
          <w:szCs w:val="32"/>
          <w:lang w:val="en" w:eastAsia="zh-CN" w:bidi="ar-SA"/>
        </w:rPr>
        <w:t>管理制度层面：通过访谈、文档审查对管理制度的具备密码应用安全管理制度、密钥管理规则、建立操作规程、定期修订安全管理制度、明确管理制度发布流程、制度执行过程记录留存进行评估。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default" w:ascii="仿宋_GB2312" w:hAnsi="仿宋_GB2312" w:eastAsia="仿宋_GB2312" w:cs="仿宋_GB2312"/>
          <w:kern w:val="2"/>
          <w:sz w:val="32"/>
          <w:szCs w:val="32"/>
          <w:lang w:val="en" w:eastAsia="zh-CN" w:bidi="ar-SA"/>
        </w:rPr>
      </w:pPr>
      <w:r>
        <w:rPr>
          <w:rFonts w:hint="default" w:ascii="仿宋_GB2312" w:hAnsi="仿宋_GB2312" w:eastAsia="仿宋_GB2312" w:cs="仿宋_GB2312"/>
          <w:kern w:val="2"/>
          <w:sz w:val="32"/>
          <w:szCs w:val="32"/>
          <w:lang w:val="en" w:eastAsia="zh-CN" w:bidi="ar-SA"/>
        </w:rPr>
        <w:t>人员管理层面：通过访谈、文档审查了解并遵守密码相关法律法规和密码管理制度、建立密码应用岗位责任制度、建立上岗人员培训制度、定期进行安全岗位人员考核、建立关键岗位人员保密制度和调离制度进行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default" w:ascii="仿宋_GB2312" w:hAnsi="仿宋_GB2312" w:eastAsia="仿宋_GB2312" w:cs="仿宋_GB2312"/>
          <w:kern w:val="2"/>
          <w:sz w:val="32"/>
          <w:szCs w:val="32"/>
          <w:lang w:val="en" w:eastAsia="zh-CN" w:bidi="ar-SA"/>
        </w:rPr>
      </w:pPr>
      <w:r>
        <w:rPr>
          <w:rFonts w:hint="default" w:ascii="仿宋_GB2312" w:hAnsi="仿宋_GB2312" w:eastAsia="仿宋_GB2312" w:cs="仿宋_GB2312"/>
          <w:kern w:val="2"/>
          <w:sz w:val="32"/>
          <w:szCs w:val="32"/>
          <w:lang w:val="en" w:eastAsia="zh-CN" w:bidi="ar-SA"/>
        </w:rPr>
        <w:t>建设运行层面：通过访谈、文档审查制定密码应用方案、制定密钥安全管理策略、制定实施方案、投入运行前进行密码应用安全性评估、定期开展密码应用安全性评估及攻防对抗演习进行评估。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default" w:ascii="CESI楷体-GB2312" w:hAnsi="CESI楷体-GB2312" w:eastAsia="CESI楷体-GB2312" w:cs="CESI楷体-GB2312"/>
          <w:kern w:val="2"/>
          <w:sz w:val="32"/>
          <w:szCs w:val="32"/>
          <w:lang w:val="en-US" w:eastAsia="zh-CN" w:bidi="ar-SA"/>
        </w:rPr>
      </w:pPr>
      <w:r>
        <w:rPr>
          <w:rFonts w:hint="default" w:ascii="仿宋_GB2312" w:hAnsi="仿宋_GB2312" w:eastAsia="仿宋_GB2312" w:cs="仿宋_GB2312"/>
          <w:kern w:val="2"/>
          <w:sz w:val="32"/>
          <w:szCs w:val="32"/>
          <w:lang w:val="en" w:eastAsia="zh-CN" w:bidi="ar-SA"/>
        </w:rPr>
        <w:t>应急处置层面：通过访谈、文档审查应急策略、事件处置、向有关主管部门上报处置情况进行评估。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default" w:ascii="CESI楷体-GB2312" w:hAnsi="CESI楷体-GB2312" w:eastAsia="CESI楷体-GB2312" w:cs="CESI楷体-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default" w:ascii="CESI楷体-GB2312" w:hAnsi="CESI楷体-GB2312" w:eastAsia="CESI楷体-GB2312" w:cs="CESI楷体-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default" w:ascii="CESI楷体-GB2312" w:hAnsi="CESI楷体-GB2312" w:eastAsia="CESI楷体-GB2312" w:cs="CESI楷体-GB2312"/>
          <w:kern w:val="2"/>
          <w:sz w:val="32"/>
          <w:szCs w:val="32"/>
          <w:lang w:val="en-US" w:eastAsia="zh-CN" w:bidi="ar-SA"/>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textAlignment w:val="auto"/>
        <w:rPr>
          <w:rFonts w:hint="eastAsia" w:ascii="CESI楷体-GB2312" w:hAnsi="CESI楷体-GB2312" w:eastAsia="CESI楷体-GB2312" w:cs="CESI楷体-GB2312"/>
          <w:kern w:val="2"/>
          <w:sz w:val="32"/>
          <w:szCs w:val="32"/>
          <w:lang w:val="en-US" w:eastAsia="zh-CN" w:bidi="ar-SA"/>
        </w:rPr>
      </w:pPr>
      <w:r>
        <w:rPr>
          <w:rFonts w:hint="default" w:ascii="CESI楷体-GB2312" w:hAnsi="CESI楷体-GB2312" w:eastAsia="CESI楷体-GB2312" w:cs="CESI楷体-GB2312"/>
          <w:kern w:val="2"/>
          <w:sz w:val="32"/>
          <w:szCs w:val="32"/>
          <w:lang w:val="en-US" w:eastAsia="zh-CN" w:bidi="ar-SA"/>
        </w:rPr>
        <w:t>评分</w:t>
      </w:r>
      <w:r>
        <w:rPr>
          <w:rFonts w:hint="eastAsia" w:ascii="CESI楷体-GB2312" w:hAnsi="CESI楷体-GB2312" w:eastAsia="CESI楷体-GB2312" w:cs="CESI楷体-GB2312"/>
          <w:kern w:val="2"/>
          <w:sz w:val="32"/>
          <w:szCs w:val="32"/>
          <w:lang w:val="en-US" w:eastAsia="zh-CN" w:bidi="ar-SA"/>
        </w:rPr>
        <w:t>内容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textAlignment w:val="auto"/>
        <w:rPr>
          <w:rFonts w:hint="default" w:ascii="CESI楷体-GB2312" w:hAnsi="CESI楷体-GB2312" w:eastAsia="CESI楷体-GB2312" w:cs="CESI楷体-GB2312"/>
          <w:kern w:val="2"/>
          <w:sz w:val="32"/>
          <w:szCs w:val="32"/>
          <w:lang w:val="en-US" w:eastAsia="zh-CN" w:bidi="ar-SA"/>
        </w:rPr>
      </w:pPr>
    </w:p>
    <w:tbl>
      <w:tblPr>
        <w:tblStyle w:val="4"/>
        <w:tblW w:w="8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208"/>
        <w:gridCol w:w="548"/>
        <w:gridCol w:w="594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662" w:hRule="atLeast"/>
          <w:tblHeader/>
          <w:jc w:val="center"/>
        </w:trPr>
        <w:tc>
          <w:tcPr>
            <w:tcW w:w="521" w:type="dxa"/>
            <w:vAlign w:val="center"/>
          </w:tcPr>
          <w:p>
            <w:pPr>
              <w:jc w:val="center"/>
              <w:rPr>
                <w:rFonts w:hint="eastAsia" w:ascii="宋体" w:hAnsi="宋体" w:eastAsia="宋体" w:cs="宋体"/>
                <w:b/>
                <w:bCs/>
              </w:rPr>
            </w:pPr>
            <w:r>
              <w:rPr>
                <w:rFonts w:hint="eastAsia" w:ascii="宋体" w:hAnsi="宋体" w:eastAsia="宋体" w:cs="宋体"/>
                <w:b/>
                <w:bCs/>
              </w:rPr>
              <w:t>序号</w:t>
            </w:r>
          </w:p>
        </w:tc>
        <w:tc>
          <w:tcPr>
            <w:tcW w:w="1756" w:type="dxa"/>
            <w:gridSpan w:val="2"/>
            <w:vAlign w:val="center"/>
          </w:tcPr>
          <w:p>
            <w:pPr>
              <w:jc w:val="center"/>
              <w:rPr>
                <w:rFonts w:hint="eastAsia" w:ascii="宋体" w:hAnsi="宋体" w:eastAsia="宋体" w:cs="宋体"/>
                <w:b/>
                <w:bCs/>
              </w:rPr>
            </w:pPr>
            <w:r>
              <w:rPr>
                <w:rFonts w:hint="eastAsia" w:ascii="宋体" w:hAnsi="宋体" w:eastAsia="宋体" w:cs="宋体"/>
                <w:b/>
                <w:bCs/>
              </w:rPr>
              <w:t>评分因素及权重</w:t>
            </w:r>
          </w:p>
        </w:tc>
        <w:tc>
          <w:tcPr>
            <w:tcW w:w="5945" w:type="dxa"/>
            <w:vAlign w:val="center"/>
          </w:tcPr>
          <w:p>
            <w:pPr>
              <w:jc w:val="center"/>
              <w:rPr>
                <w:rFonts w:hint="eastAsia" w:ascii="宋体" w:hAnsi="宋体" w:eastAsia="宋体" w:cs="宋体"/>
                <w:b/>
                <w:bCs/>
              </w:rPr>
            </w:pPr>
            <w:r>
              <w:rPr>
                <w:rFonts w:hint="eastAsia" w:ascii="宋体" w:hAnsi="宋体" w:eastAsia="宋体" w:cs="宋体"/>
                <w:b/>
                <w:bC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832" w:hRule="atLeast"/>
          <w:jc w:val="center"/>
        </w:trPr>
        <w:tc>
          <w:tcPr>
            <w:tcW w:w="521" w:type="dxa"/>
            <w:vAlign w:val="center"/>
          </w:tcPr>
          <w:p>
            <w:pPr>
              <w:jc w:val="center"/>
              <w:rPr>
                <w:rFonts w:hint="eastAsia" w:ascii="宋体" w:hAnsi="宋体" w:eastAsia="宋体" w:cs="宋体"/>
              </w:rPr>
            </w:pPr>
            <w:r>
              <w:rPr>
                <w:rFonts w:hint="eastAsia" w:ascii="宋体" w:hAnsi="宋体" w:eastAsia="宋体" w:cs="宋体"/>
              </w:rPr>
              <w:t>1</w:t>
            </w:r>
          </w:p>
        </w:tc>
        <w:tc>
          <w:tcPr>
            <w:tcW w:w="1756" w:type="dxa"/>
            <w:gridSpan w:val="2"/>
            <w:vAlign w:val="center"/>
          </w:tcPr>
          <w:p>
            <w:pPr>
              <w:jc w:val="center"/>
              <w:rPr>
                <w:rFonts w:hint="eastAsia" w:ascii="宋体" w:hAnsi="宋体" w:eastAsia="宋体" w:cs="宋体"/>
                <w:lang w:eastAsia="zh-CN"/>
              </w:rPr>
            </w:pPr>
            <w:r>
              <w:rPr>
                <w:rFonts w:hint="eastAsia" w:ascii="宋体" w:hAnsi="宋体" w:eastAsia="宋体" w:cs="宋体"/>
                <w:lang w:eastAsia="zh-CN"/>
              </w:rPr>
              <w:t>价格部分</w:t>
            </w:r>
          </w:p>
          <w:p>
            <w:pPr>
              <w:jc w:val="center"/>
              <w:rPr>
                <w:rFonts w:hint="eastAsia" w:ascii="宋体" w:hAnsi="宋体" w:eastAsia="宋体" w:cs="宋体"/>
              </w:rPr>
            </w:pPr>
          </w:p>
        </w:tc>
        <w:tc>
          <w:tcPr>
            <w:tcW w:w="5945" w:type="dxa"/>
            <w:vAlign w:val="center"/>
          </w:tcPr>
          <w:p>
            <w:pPr>
              <w:pStyle w:val="5"/>
              <w:spacing w:line="364" w:lineRule="auto"/>
              <w:ind w:left="107" w:right="95"/>
              <w:rPr>
                <w:rFonts w:hint="eastAsia" w:ascii="宋体" w:hAnsi="宋体" w:eastAsia="宋体" w:cs="宋体"/>
              </w:rPr>
            </w:pPr>
            <w:r>
              <w:rPr>
                <w:rFonts w:hint="eastAsia" w:ascii="宋体" w:hAnsi="宋体" w:eastAsia="宋体" w:cs="宋体"/>
                <w:kern w:val="2"/>
                <w:sz w:val="21"/>
                <w:szCs w:val="22"/>
                <w:lang w:val="en-US" w:eastAsia="zh-CN" w:bidi="ar-SA"/>
              </w:rPr>
              <w:t>价格得分统一采用低价优先法计算，即满足招标文件要求且投标价格最低的投标报价为评标基准价，其他投标人的价格分统一按照下列公式计算：投标报价得分=(评标基准价／投标报价)×10；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415" w:hRule="atLeast"/>
          <w:jc w:val="center"/>
        </w:trPr>
        <w:tc>
          <w:tcPr>
            <w:tcW w:w="521" w:type="dxa"/>
            <w:vMerge w:val="restart"/>
            <w:vAlign w:val="center"/>
          </w:tcPr>
          <w:p>
            <w:pPr>
              <w:jc w:val="center"/>
              <w:rPr>
                <w:rFonts w:hint="eastAsia" w:ascii="宋体" w:hAnsi="宋体" w:eastAsia="宋体" w:cs="宋体"/>
              </w:rPr>
            </w:pPr>
            <w:r>
              <w:rPr>
                <w:rFonts w:hint="eastAsia" w:ascii="宋体" w:hAnsi="宋体" w:eastAsia="宋体" w:cs="宋体"/>
              </w:rPr>
              <w:t>2</w:t>
            </w:r>
          </w:p>
        </w:tc>
        <w:tc>
          <w:tcPr>
            <w:tcW w:w="1208" w:type="dxa"/>
            <w:vMerge w:val="restart"/>
            <w:vAlign w:val="center"/>
          </w:tcPr>
          <w:p>
            <w:pPr>
              <w:rPr>
                <w:rFonts w:hint="eastAsia" w:ascii="宋体" w:hAnsi="宋体" w:eastAsia="宋体" w:cs="宋体"/>
              </w:rPr>
            </w:pPr>
            <w:r>
              <w:rPr>
                <w:rFonts w:hint="eastAsia" w:ascii="宋体" w:hAnsi="宋体" w:eastAsia="宋体" w:cs="宋体"/>
                <w:lang w:eastAsia="zh-CN"/>
              </w:rPr>
              <w:t>商务部分</w:t>
            </w:r>
          </w:p>
        </w:tc>
        <w:tc>
          <w:tcPr>
            <w:tcW w:w="548" w:type="dxa"/>
            <w:vAlign w:val="center"/>
          </w:tcPr>
          <w:p>
            <w:pPr>
              <w:jc w:val="center"/>
              <w:rPr>
                <w:rFonts w:hint="eastAsia" w:ascii="宋体" w:hAnsi="宋体" w:eastAsia="宋体" w:cs="宋体"/>
                <w:lang w:eastAsia="zh-CN"/>
              </w:rPr>
            </w:pPr>
            <w:r>
              <w:rPr>
                <w:rFonts w:hint="eastAsia" w:ascii="宋体" w:hAnsi="宋体" w:eastAsia="宋体" w:cs="宋体"/>
                <w:lang w:val="en-US" w:eastAsia="zh-CN"/>
              </w:rPr>
              <w:t>供应商业绩</w:t>
            </w:r>
          </w:p>
        </w:tc>
        <w:tc>
          <w:tcPr>
            <w:tcW w:w="5945" w:type="dxa"/>
            <w:vAlign w:val="top"/>
          </w:tcPr>
          <w:p>
            <w:pPr>
              <w:spacing w:line="300" w:lineRule="auto"/>
              <w:rPr>
                <w:rFonts w:hint="eastAsia" w:ascii="宋体" w:hAnsi="宋体" w:eastAsia="宋体" w:cs="宋体"/>
                <w:lang w:val="zh-TW" w:eastAsia="zh-TW"/>
              </w:rPr>
            </w:pPr>
            <w:r>
              <w:rPr>
                <w:rFonts w:hint="eastAsia" w:ascii="宋体" w:hAnsi="宋体" w:eastAsia="宋体" w:cs="宋体"/>
                <w:lang w:val="zh-TW" w:eastAsia="zh-TW"/>
              </w:rPr>
              <w:t>供应商提供近三年三级以上信息系统商用密码应用安全性评估项目业绩（提供合同关键</w:t>
            </w:r>
            <w:r>
              <w:rPr>
                <w:rFonts w:hint="eastAsia" w:ascii="宋体" w:hAnsi="宋体" w:eastAsia="宋体" w:cs="宋体"/>
                <w:lang w:val="zh-TW" w:eastAsia="zh-CN"/>
              </w:rPr>
              <w:t>盖章</w:t>
            </w:r>
            <w:r>
              <w:rPr>
                <w:rFonts w:hint="eastAsia" w:ascii="宋体" w:hAnsi="宋体" w:eastAsia="宋体" w:cs="宋体"/>
                <w:lang w:val="zh-TW" w:eastAsia="zh-TW"/>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887" w:hRule="atLeast"/>
          <w:jc w:val="center"/>
        </w:trPr>
        <w:tc>
          <w:tcPr>
            <w:tcW w:w="521" w:type="dxa"/>
            <w:vMerge w:val="continue"/>
            <w:vAlign w:val="center"/>
          </w:tcPr>
          <w:p>
            <w:pPr>
              <w:jc w:val="center"/>
              <w:rPr>
                <w:rFonts w:hint="eastAsia" w:ascii="宋体" w:hAnsi="宋体" w:eastAsia="宋体" w:cs="宋体"/>
              </w:rPr>
            </w:pPr>
          </w:p>
        </w:tc>
        <w:tc>
          <w:tcPr>
            <w:tcW w:w="1208" w:type="dxa"/>
            <w:vMerge w:val="continue"/>
            <w:vAlign w:val="center"/>
          </w:tcPr>
          <w:p>
            <w:pPr>
              <w:jc w:val="center"/>
              <w:rPr>
                <w:rFonts w:hint="eastAsia" w:ascii="宋体" w:hAnsi="宋体" w:eastAsia="宋体" w:cs="宋体"/>
              </w:rPr>
            </w:pPr>
          </w:p>
        </w:tc>
        <w:tc>
          <w:tcPr>
            <w:tcW w:w="548" w:type="dxa"/>
            <w:vAlign w:val="center"/>
          </w:tcPr>
          <w:p>
            <w:pPr>
              <w:jc w:val="center"/>
              <w:rPr>
                <w:rFonts w:hint="eastAsia" w:ascii="宋体" w:hAnsi="宋体" w:eastAsia="宋体" w:cs="宋体"/>
                <w:lang w:eastAsia="zh-CN"/>
              </w:rPr>
            </w:pPr>
            <w:r>
              <w:rPr>
                <w:rFonts w:hint="eastAsia" w:ascii="宋体" w:hAnsi="宋体" w:eastAsia="宋体" w:cs="宋体"/>
                <w:lang w:eastAsia="zh-CN"/>
              </w:rPr>
              <w:t>资质证书及荣誉</w:t>
            </w:r>
          </w:p>
        </w:tc>
        <w:tc>
          <w:tcPr>
            <w:tcW w:w="5945"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zh-TW" w:eastAsia="zh-TW" w:bidi="ar-SA"/>
              </w:rPr>
            </w:pPr>
            <w:r>
              <w:rPr>
                <w:rFonts w:hint="eastAsia" w:ascii="宋体" w:hAnsi="宋体" w:eastAsia="宋体" w:cs="宋体"/>
                <w:kern w:val="2"/>
                <w:sz w:val="21"/>
                <w:szCs w:val="22"/>
                <w:lang w:val="zh-TW" w:eastAsia="zh-TW" w:bidi="ar-SA"/>
              </w:rPr>
              <w:t>①具备ISO14001环境管理体系认证证书、ISO45001职业健康安全管理体系认证证书、ISO/IEC27001信息安全管理体系认证证书、ISO20000信息技术管理体系证书、ISO9001质量管理体系认证证书，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zh-TW" w:eastAsia="zh-TW" w:bidi="ar-SA"/>
              </w:rPr>
            </w:pPr>
            <w:r>
              <w:rPr>
                <w:rFonts w:hint="eastAsia" w:ascii="宋体" w:hAnsi="宋体" w:eastAsia="宋体" w:cs="宋体"/>
                <w:kern w:val="2"/>
                <w:sz w:val="21"/>
                <w:szCs w:val="22"/>
                <w:lang w:val="zh-TW" w:eastAsia="zh-TW" w:bidi="ar-SA"/>
              </w:rPr>
              <w:t>②具备中国合格评定国家认证委员会检验机构认可证书（CNAS认证），认可能力需包含商用密码应用安全性评估，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zh-TW" w:eastAsia="zh-TW" w:bidi="ar-SA"/>
              </w:rPr>
            </w:pPr>
            <w:r>
              <w:rPr>
                <w:rFonts w:hint="eastAsia" w:ascii="宋体" w:hAnsi="宋体" w:eastAsia="宋体" w:cs="宋体"/>
                <w:kern w:val="2"/>
                <w:sz w:val="21"/>
                <w:szCs w:val="22"/>
                <w:lang w:val="zh-TW" w:eastAsia="zh-TW" w:bidi="ar-SA"/>
              </w:rPr>
              <w:t>③具备CCRC信息安全风险评估资质认证证书，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zh-TW" w:eastAsia="zh-TW" w:bidi="ar-SA"/>
              </w:rPr>
            </w:pPr>
            <w:r>
              <w:rPr>
                <w:rFonts w:hint="eastAsia" w:ascii="宋体" w:hAnsi="宋体" w:eastAsia="宋体" w:cs="宋体"/>
                <w:kern w:val="2"/>
                <w:sz w:val="21"/>
                <w:szCs w:val="22"/>
                <w:lang w:val="zh-TW" w:eastAsia="zh-TW" w:bidi="ar-SA"/>
              </w:rPr>
              <w:t>④具备健康、安全与环境管理体系HSSE认证证书，</w:t>
            </w:r>
            <w:r>
              <w:rPr>
                <w:rFonts w:hint="eastAsia" w:ascii="宋体" w:hAnsi="宋体" w:eastAsia="宋体" w:cs="宋体"/>
                <w:kern w:val="2"/>
                <w:sz w:val="21"/>
                <w:szCs w:val="22"/>
                <w:lang w:val="en-US" w:eastAsia="zh-CN" w:bidi="ar-SA"/>
              </w:rPr>
              <w:t xml:space="preserve"> </w:t>
            </w:r>
            <w:r>
              <w:rPr>
                <w:rFonts w:hint="eastAsia" w:ascii="宋体" w:hAnsi="宋体" w:eastAsia="宋体" w:cs="宋体"/>
                <w:kern w:val="2"/>
                <w:sz w:val="21"/>
                <w:szCs w:val="22"/>
                <w:lang w:val="zh-TW" w:eastAsia="zh-TW" w:bidi="ar-SA"/>
              </w:rPr>
              <w:t>⑤具备中国密码学会会员单位证书，</w:t>
            </w:r>
          </w:p>
          <w:p>
            <w:pPr>
              <w:spacing w:line="300" w:lineRule="auto"/>
              <w:rPr>
                <w:rFonts w:hint="eastAsia" w:ascii="宋体" w:hAnsi="宋体" w:eastAsia="宋体" w:cs="宋体"/>
                <w:lang w:val="zh-TW" w:eastAsia="zh-TW"/>
              </w:rPr>
            </w:pPr>
            <w:r>
              <w:rPr>
                <w:rFonts w:hint="eastAsia" w:ascii="宋体" w:hAnsi="宋体" w:eastAsia="宋体" w:cs="宋体"/>
                <w:kern w:val="2"/>
                <w:sz w:val="21"/>
                <w:szCs w:val="22"/>
                <w:lang w:val="zh-TW" w:eastAsia="zh-TW" w:bidi="ar-SA"/>
              </w:rPr>
              <w:t>【提供相关证书复印件并加盖公章，未提供不得分】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887" w:hRule="atLeast"/>
          <w:jc w:val="center"/>
        </w:trPr>
        <w:tc>
          <w:tcPr>
            <w:tcW w:w="521" w:type="dxa"/>
            <w:vMerge w:val="restart"/>
            <w:shd w:val="clear" w:color="auto" w:fill="auto"/>
            <w:vAlign w:val="center"/>
          </w:tcPr>
          <w:p>
            <w:pPr>
              <w:jc w:val="center"/>
              <w:rPr>
                <w:rFonts w:hint="eastAsia" w:ascii="宋体" w:hAnsi="宋体" w:eastAsia="宋体" w:cs="宋体"/>
              </w:rPr>
            </w:pPr>
            <w:r>
              <w:rPr>
                <w:rFonts w:hint="eastAsia" w:ascii="宋体" w:hAnsi="宋体" w:eastAsia="宋体" w:cs="宋体"/>
              </w:rPr>
              <w:t>3</w:t>
            </w:r>
          </w:p>
        </w:tc>
        <w:tc>
          <w:tcPr>
            <w:tcW w:w="1208" w:type="dxa"/>
            <w:vMerge w:val="restart"/>
            <w:shd w:val="clear" w:color="auto" w:fill="auto"/>
            <w:vAlign w:val="center"/>
          </w:tcPr>
          <w:p>
            <w:pPr>
              <w:jc w:val="cente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lang w:eastAsia="zh-CN"/>
              </w:rPr>
              <w:t>技术部分</w:t>
            </w:r>
          </w:p>
        </w:tc>
        <w:tc>
          <w:tcPr>
            <w:tcW w:w="548" w:type="dxa"/>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技术方案</w:t>
            </w:r>
          </w:p>
        </w:tc>
        <w:tc>
          <w:tcPr>
            <w:tcW w:w="5945"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zh-TW" w:eastAsia="zh-TW" w:bidi="ar-SA"/>
              </w:rPr>
            </w:pPr>
            <w:r>
              <w:rPr>
                <w:rFonts w:hint="eastAsia" w:ascii="宋体" w:hAnsi="宋体" w:eastAsia="宋体" w:cs="宋体"/>
                <w:kern w:val="2"/>
                <w:sz w:val="21"/>
                <w:szCs w:val="22"/>
                <w:lang w:val="zh-TW" w:eastAsia="zh-TW" w:bidi="ar-SA"/>
              </w:rPr>
              <w:t>供应商需针对本项目提供详细的项目实施方案，内容包括但不限于：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zh-TW" w:eastAsia="zh-TW" w:bidi="ar-SA"/>
              </w:rPr>
            </w:pPr>
            <w:r>
              <w:rPr>
                <w:rFonts w:hint="eastAsia" w:ascii="宋体" w:hAnsi="宋体" w:eastAsia="宋体" w:cs="宋体"/>
                <w:kern w:val="2"/>
                <w:sz w:val="21"/>
                <w:szCs w:val="22"/>
                <w:lang w:val="zh-TW" w:eastAsia="zh-TW" w:bidi="ar-SA"/>
              </w:rPr>
              <w:t>①项目需求理解与分析；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zh-TW" w:eastAsia="zh-TW" w:bidi="ar-SA"/>
              </w:rPr>
            </w:pPr>
            <w:r>
              <w:rPr>
                <w:rFonts w:hint="eastAsia" w:ascii="宋体" w:hAnsi="宋体" w:eastAsia="宋体" w:cs="宋体"/>
                <w:kern w:val="2"/>
                <w:sz w:val="21"/>
                <w:szCs w:val="22"/>
                <w:lang w:val="zh-TW" w:eastAsia="zh-TW" w:bidi="ar-SA"/>
              </w:rPr>
              <w:t>②商用密码应用与安全性评估方案；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zh-TW" w:eastAsia="zh-TW" w:bidi="ar-SA"/>
              </w:rPr>
            </w:pPr>
            <w:r>
              <w:rPr>
                <w:rFonts w:hint="eastAsia" w:ascii="宋体" w:hAnsi="宋体" w:eastAsia="宋体" w:cs="宋体"/>
                <w:kern w:val="2"/>
                <w:sz w:val="21"/>
                <w:szCs w:val="22"/>
                <w:lang w:val="zh-TW" w:eastAsia="zh-TW" w:bidi="ar-SA"/>
              </w:rPr>
              <w:t>③项目团队人员安排；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zh-TW" w:eastAsia="zh-TW" w:bidi="ar-SA"/>
              </w:rPr>
            </w:pPr>
            <w:r>
              <w:rPr>
                <w:rFonts w:hint="eastAsia" w:ascii="宋体" w:hAnsi="宋体" w:eastAsia="宋体" w:cs="宋体"/>
                <w:kern w:val="2"/>
                <w:sz w:val="21"/>
                <w:szCs w:val="22"/>
                <w:lang w:val="zh-TW" w:eastAsia="zh-TW" w:bidi="ar-SA"/>
              </w:rPr>
              <w:t>④项目管理措施；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zh-TW" w:eastAsia="zh-TW" w:bidi="ar-SA"/>
              </w:rPr>
            </w:pPr>
            <w:r>
              <w:rPr>
                <w:rFonts w:hint="eastAsia" w:ascii="宋体" w:hAnsi="宋体" w:eastAsia="宋体" w:cs="宋体"/>
                <w:kern w:val="2"/>
                <w:sz w:val="21"/>
                <w:szCs w:val="22"/>
                <w:lang w:val="zh-TW" w:eastAsia="zh-TW" w:bidi="ar-SA"/>
              </w:rPr>
              <w:t>⑤质量管理方案；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zh-TW" w:eastAsia="zh-TW" w:bidi="ar-SA"/>
              </w:rPr>
            </w:pPr>
            <w:r>
              <w:rPr>
                <w:rFonts w:hint="eastAsia" w:ascii="宋体" w:hAnsi="宋体" w:eastAsia="宋体" w:cs="宋体"/>
                <w:kern w:val="2"/>
                <w:sz w:val="21"/>
                <w:szCs w:val="22"/>
                <w:lang w:val="zh-TW" w:eastAsia="zh-TW" w:bidi="ar-SA"/>
              </w:rPr>
              <w:t>⑥项目进度计划。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lang w:val="zh-TW" w:eastAsia="zh-TW"/>
              </w:rPr>
            </w:pPr>
            <w:r>
              <w:rPr>
                <w:rFonts w:hint="eastAsia" w:ascii="宋体" w:hAnsi="宋体" w:eastAsia="宋体" w:cs="宋体"/>
                <w:kern w:val="2"/>
                <w:sz w:val="21"/>
                <w:szCs w:val="22"/>
                <w:lang w:val="zh-TW" w:eastAsia="zh-TW" w:bidi="ar-SA"/>
              </w:rPr>
              <w:t>以上方案内容完整清晰明确且科学合理、可行性高具有针对性并满足采购需求，每缺少一项内容扣5分；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638" w:hRule="atLeast"/>
          <w:jc w:val="center"/>
        </w:trPr>
        <w:tc>
          <w:tcPr>
            <w:tcW w:w="521" w:type="dxa"/>
            <w:vMerge w:val="continue"/>
            <w:shd w:val="clear" w:color="auto" w:fill="auto"/>
            <w:vAlign w:val="center"/>
          </w:tcPr>
          <w:p>
            <w:pPr>
              <w:jc w:val="center"/>
              <w:rPr>
                <w:rFonts w:hint="eastAsia" w:ascii="宋体" w:hAnsi="宋体" w:eastAsia="宋体" w:cs="宋体"/>
              </w:rPr>
            </w:pPr>
          </w:p>
        </w:tc>
        <w:tc>
          <w:tcPr>
            <w:tcW w:w="1208" w:type="dxa"/>
            <w:vMerge w:val="continue"/>
            <w:shd w:val="clear" w:color="auto" w:fill="auto"/>
            <w:vAlign w:val="center"/>
          </w:tcPr>
          <w:p>
            <w:pPr>
              <w:jc w:val="center"/>
              <w:rPr>
                <w:rFonts w:hint="eastAsia" w:ascii="宋体" w:hAnsi="宋体" w:eastAsia="宋体" w:cs="宋体"/>
              </w:rPr>
            </w:pPr>
          </w:p>
        </w:tc>
        <w:tc>
          <w:tcPr>
            <w:tcW w:w="548" w:type="dxa"/>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项目负责人</w:t>
            </w:r>
          </w:p>
        </w:tc>
        <w:tc>
          <w:tcPr>
            <w:tcW w:w="5945"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具有国家商用密码应用安全性评估人员测评能力考核小组颁发的商用密码应用安全性评估人员资格证书（提供原件备查）在此基础上：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1、具备网络安全等级保护测评师证书（高级）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2、具备高级网络信息安全工程师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3、具备高级信息系统项目管理师证书或PMP证书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4、具备中国信息安全测评中心颁发的注册电子数据取证专业人员（CISP-F）</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5、具备中国信息安全测评中心颁发的注册渗透测试工程师（CISP-PTE）</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lang w:val="zh-TW" w:eastAsia="zh-TW"/>
              </w:rPr>
            </w:pPr>
            <w:r>
              <w:rPr>
                <w:rFonts w:hint="eastAsia" w:ascii="宋体" w:hAnsi="宋体" w:eastAsia="宋体" w:cs="宋体"/>
                <w:kern w:val="2"/>
                <w:sz w:val="21"/>
                <w:szCs w:val="22"/>
                <w:lang w:val="en-US" w:eastAsia="zh-CN" w:bidi="ar-SA"/>
              </w:rPr>
              <w:t>【提供相关资格证书复印件、社保机构出具的开标前至今供应商为其缴纳的连续6个月的社保证明。】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036" w:hRule="atLeast"/>
          <w:jc w:val="center"/>
        </w:trPr>
        <w:tc>
          <w:tcPr>
            <w:tcW w:w="521" w:type="dxa"/>
            <w:vMerge w:val="continue"/>
            <w:shd w:val="clear" w:color="auto" w:fill="auto"/>
            <w:vAlign w:val="center"/>
          </w:tcPr>
          <w:p>
            <w:pPr>
              <w:jc w:val="center"/>
              <w:rPr>
                <w:rFonts w:hint="eastAsia" w:ascii="宋体" w:hAnsi="宋体" w:eastAsia="宋体" w:cs="宋体"/>
              </w:rPr>
            </w:pPr>
          </w:p>
        </w:tc>
        <w:tc>
          <w:tcPr>
            <w:tcW w:w="1208" w:type="dxa"/>
            <w:vMerge w:val="continue"/>
            <w:shd w:val="clear" w:color="auto" w:fill="auto"/>
            <w:vAlign w:val="center"/>
          </w:tcPr>
          <w:p>
            <w:pPr>
              <w:jc w:val="center"/>
              <w:rPr>
                <w:rFonts w:hint="eastAsia" w:ascii="宋体" w:hAnsi="宋体" w:eastAsia="宋体" w:cs="宋体"/>
              </w:rPr>
            </w:pPr>
          </w:p>
        </w:tc>
        <w:tc>
          <w:tcPr>
            <w:tcW w:w="548" w:type="dxa"/>
            <w:shd w:val="clear" w:color="auto" w:fill="auto"/>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团队成员</w:t>
            </w:r>
          </w:p>
        </w:tc>
        <w:tc>
          <w:tcPr>
            <w:tcW w:w="59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具有国家商用密码应用安全性评估人员测评能力考核小组颁发的商用密码应用安全性评估人员资格证书（提供原件备查）在此基础上：（至少三人）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1、团队成员具备网络安全等级测评师证书（中级）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2、团队成员具备密码工程师（高级）证书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3、团队成员具备信息安全管理工程师（高级）证书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4、团队成员具备注册电子取证专业人员证书（CISP-F）</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5、团队成员具备注册渗透测试工程师（CISP-PTE）证书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lang w:val="zh-TW"/>
              </w:rPr>
            </w:pPr>
            <w:r>
              <w:rPr>
                <w:rFonts w:hint="eastAsia" w:ascii="宋体" w:hAnsi="宋体" w:eastAsia="宋体" w:cs="宋体"/>
                <w:kern w:val="2"/>
                <w:sz w:val="21"/>
                <w:szCs w:val="22"/>
                <w:lang w:val="en-US" w:eastAsia="zh-CN" w:bidi="ar-SA"/>
              </w:rPr>
              <w:t>【提供相关资格证书复印件、社保机构出具的开标前至今供应商为其缴纳的连续6个月的社保证明】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7" w:hRule="atLeast"/>
          <w:jc w:val="center"/>
        </w:trPr>
        <w:tc>
          <w:tcPr>
            <w:tcW w:w="521"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1208" w:type="dxa"/>
            <w:vAlign w:val="center"/>
          </w:tcPr>
          <w:p>
            <w:pPr>
              <w:jc w:val="center"/>
              <w:rPr>
                <w:rFonts w:hint="eastAsia" w:ascii="宋体" w:hAnsi="宋体" w:eastAsia="宋体" w:cs="宋体"/>
                <w:lang w:eastAsia="zh-CN"/>
              </w:rPr>
            </w:pPr>
            <w:r>
              <w:rPr>
                <w:rFonts w:hint="eastAsia" w:ascii="宋体" w:hAnsi="宋体" w:eastAsia="宋体" w:cs="宋体"/>
                <w:lang w:eastAsia="zh-CN"/>
              </w:rPr>
              <w:t>售后服务</w:t>
            </w:r>
          </w:p>
        </w:tc>
        <w:tc>
          <w:tcPr>
            <w:tcW w:w="6500" w:type="dxa"/>
            <w:gridSpan w:val="3"/>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根据投标人提供的售后支持服务方案，至少包括服务承诺、服务标准、服务流程、服务内容、响应时间、保障措施、应急解决方案等内容进行综合打分。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有详细具体的售后服务方案，售后服务承诺保障方案合理，针对本项目能给出具备实际意义的措施及建议，能有效满足需求项目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售后服务方案科学合理、有针对性，但方案不够全面，可行的措施及建议较少，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售后服务方案略有欠缺，可行性较低，</w:t>
            </w:r>
          </w:p>
          <w:p>
            <w:pPr>
              <w:spacing w:line="300" w:lineRule="auto"/>
              <w:rPr>
                <w:rFonts w:hint="eastAsia" w:ascii="宋体" w:hAnsi="宋体" w:eastAsia="宋体" w:cs="宋体"/>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D3AFD5"/>
    <w:multiLevelType w:val="singleLevel"/>
    <w:tmpl w:val="97D3AFD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E4D76"/>
    <w:rsid w:val="2F9E4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5">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2025-04-15T09:27:00Z</dcterms:created>
  <dc:creator>Administrator</dc:creator>
  <cp:lastModifiedBy>Administrator</cp:lastModifiedBy>
  <dcterms:modified xsi:type="dcterms:W3CDTF">2025-04-15T09:27:46Z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